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DEBAA" w14:textId="77777777" w:rsidR="0071527A" w:rsidRDefault="0071527A" w:rsidP="0071527A">
      <w:pPr>
        <w:jc w:val="center"/>
      </w:pPr>
    </w:p>
    <w:p w14:paraId="0EAB8DA3" w14:textId="77777777" w:rsidR="0071527A" w:rsidRDefault="0071527A" w:rsidP="0071527A">
      <w:pPr>
        <w:jc w:val="center"/>
      </w:pPr>
    </w:p>
    <w:p w14:paraId="5BDDAE10" w14:textId="77777777" w:rsidR="0071527A" w:rsidRDefault="0071527A" w:rsidP="0071527A">
      <w:pPr>
        <w:jc w:val="center"/>
      </w:pPr>
    </w:p>
    <w:p w14:paraId="515C2485" w14:textId="77777777" w:rsidR="0071527A" w:rsidRDefault="0071527A" w:rsidP="0071527A">
      <w:pPr>
        <w:jc w:val="center"/>
      </w:pPr>
    </w:p>
    <w:p w14:paraId="15D47083" w14:textId="77777777" w:rsidR="0071527A" w:rsidRDefault="0071527A" w:rsidP="0071527A">
      <w:pPr>
        <w:jc w:val="center"/>
      </w:pPr>
    </w:p>
    <w:p w14:paraId="4C10988C" w14:textId="77777777" w:rsidR="0071527A" w:rsidRDefault="0071527A" w:rsidP="0071527A">
      <w:pPr>
        <w:jc w:val="center"/>
      </w:pPr>
    </w:p>
    <w:p w14:paraId="5D6B1DB9" w14:textId="77777777" w:rsidR="0071527A" w:rsidRDefault="0071527A" w:rsidP="0071527A">
      <w:pPr>
        <w:jc w:val="center"/>
      </w:pPr>
    </w:p>
    <w:p w14:paraId="121A87C3" w14:textId="77777777" w:rsidR="0071527A" w:rsidRDefault="0071527A" w:rsidP="0071527A">
      <w:pPr>
        <w:jc w:val="center"/>
      </w:pPr>
    </w:p>
    <w:p w14:paraId="6B4C08A7" w14:textId="71602FE6" w:rsidR="0071527A" w:rsidRDefault="00E63735" w:rsidP="0071527A">
      <w:pPr>
        <w:spacing w:line="480" w:lineRule="auto"/>
        <w:jc w:val="center"/>
      </w:pPr>
      <w:r>
        <w:t>Twentieth-century literature.</w:t>
      </w:r>
    </w:p>
    <w:p w14:paraId="529D1B6F" w14:textId="53B6E4B9" w:rsidR="0071527A" w:rsidRDefault="00E63735" w:rsidP="0071527A">
      <w:pPr>
        <w:spacing w:line="480" w:lineRule="auto"/>
        <w:jc w:val="center"/>
      </w:pPr>
      <w:r>
        <w:t>Name</w:t>
      </w:r>
    </w:p>
    <w:p w14:paraId="5CA01CD2" w14:textId="77777777" w:rsidR="0071527A" w:rsidRDefault="00E63735" w:rsidP="0071527A">
      <w:pPr>
        <w:spacing w:line="480" w:lineRule="auto"/>
        <w:jc w:val="center"/>
      </w:pPr>
      <w:r>
        <w:t>Institution affiliation.</w:t>
      </w:r>
    </w:p>
    <w:p w14:paraId="198B04F7" w14:textId="22DA76E8" w:rsidR="0071527A" w:rsidRDefault="00E63735" w:rsidP="0071527A">
      <w:pPr>
        <w:spacing w:line="480" w:lineRule="auto"/>
        <w:jc w:val="center"/>
      </w:pPr>
      <w:r>
        <w:t>Date.</w:t>
      </w:r>
      <w:r>
        <w:br w:type="page"/>
      </w:r>
    </w:p>
    <w:p w14:paraId="6F4CAE40" w14:textId="77777777" w:rsidR="006803D4" w:rsidRDefault="006803D4"/>
    <w:p w14:paraId="3514A599" w14:textId="1EAF4087" w:rsidR="0071527A" w:rsidRPr="001912C1" w:rsidRDefault="00E63735" w:rsidP="001912C1">
      <w:pPr>
        <w:spacing w:line="480" w:lineRule="auto"/>
        <w:ind w:firstLine="720"/>
        <w:jc w:val="center"/>
        <w:rPr>
          <w:b/>
        </w:rPr>
      </w:pPr>
      <w:r w:rsidRPr="001912C1">
        <w:rPr>
          <w:b/>
        </w:rPr>
        <w:t>PART 1</w:t>
      </w:r>
    </w:p>
    <w:p w14:paraId="0D890D12" w14:textId="16D7BCD1" w:rsidR="000953C3" w:rsidRDefault="00E63735" w:rsidP="00050841">
      <w:pPr>
        <w:spacing w:line="480" w:lineRule="auto"/>
        <w:ind w:firstLine="720"/>
        <w:jc w:val="both"/>
      </w:pPr>
      <w:r>
        <w:t xml:space="preserve">While the twentieth-century literature </w:t>
      </w:r>
      <w:r w:rsidR="00AF56EB">
        <w:t xml:space="preserve">is </w:t>
      </w:r>
      <w:r>
        <w:t xml:space="preserve">developed from an overall sense of discouragement with the previous era attitudes from the nineteenth century, contemporary literature has a set of after the </w:t>
      </w:r>
      <w:r w:rsidR="00F148FD">
        <w:t>Second World War</w:t>
      </w:r>
      <w:r>
        <w:t xml:space="preserve">. </w:t>
      </w:r>
      <w:r w:rsidR="00AF56EB">
        <w:t>This essay focuses on the themes and techniques that make the twentieth century and contemporary literature unique, focusing on "A rose by Emily" and "The story of an hour" as a reference text.</w:t>
      </w:r>
    </w:p>
    <w:p w14:paraId="5D18E885" w14:textId="7ADEE892" w:rsidR="00B302FF" w:rsidRDefault="00E63735" w:rsidP="00050841">
      <w:pPr>
        <w:spacing w:line="480" w:lineRule="auto"/>
        <w:ind w:firstLine="720"/>
        <w:jc w:val="both"/>
      </w:pPr>
      <w:r>
        <w:t xml:space="preserve">The twentieth-century literature is unique since the themes and techniques used have a fragmented structure and perspective and their writings are done from the margin. That is, the </w:t>
      </w:r>
      <w:r w:rsidR="006D2269">
        <w:t>chronological order of the novel is often interrupted by the narrator's memories giving the reader a disorienting experience</w:t>
      </w:r>
      <w:r>
        <w:t xml:space="preserve"> is that differentiates it from the previous literature styles that have a sequential style</w:t>
      </w:r>
      <w:r w:rsidR="006D2269">
        <w:t xml:space="preserve">. The themes that make it unique involves alienation, consumption, the relativity of the truth, and transformation. </w:t>
      </w:r>
      <w:r w:rsidR="00436359">
        <w:t>For instance, in "A Rose for Emily", the story shifts in time to describe a time where Emily is excused from paying taxes in 1894.</w:t>
      </w:r>
      <w:r>
        <w:t xml:space="preserve"> A rose for Emily shows alienation when Emily is withdrawn when her father dies that she decides to </w:t>
      </w:r>
      <w:proofErr w:type="gramStart"/>
      <w:r>
        <w:t>withhold</w:t>
      </w:r>
      <w:proofErr w:type="gramEnd"/>
      <w:r>
        <w:t xml:space="preserve"> his body from</w:t>
      </w:r>
      <w:r w:rsidR="00152CF4">
        <w:t xml:space="preserve"> burial (Faulkner, et al., </w:t>
      </w:r>
      <w:r w:rsidR="00152CF4" w:rsidRPr="00152CF4">
        <w:t>1958). </w:t>
      </w:r>
    </w:p>
    <w:p w14:paraId="31148917" w14:textId="5A8E37C3" w:rsidR="00B302FF" w:rsidRPr="00F148FD" w:rsidRDefault="00E63735" w:rsidP="00F148FD">
      <w:pPr>
        <w:spacing w:line="480" w:lineRule="auto"/>
        <w:ind w:firstLine="720"/>
        <w:jc w:val="both"/>
      </w:pPr>
      <w:r>
        <w:t xml:space="preserve">In addition, contemporary literature is differentiated from predeceasing literature by its ability to reveal the history and show how those historic scenarios have been viewed by different audiences. </w:t>
      </w:r>
      <w:r w:rsidR="002404EF">
        <w:t>C</w:t>
      </w:r>
      <w:r>
        <w:t>ontempora</w:t>
      </w:r>
      <w:r w:rsidR="002404EF">
        <w:t xml:space="preserve">ry literature is characterized by well-defined characters in realistic, sometimes environments, the stories are driven by the character and make major use of irony. </w:t>
      </w:r>
      <w:r w:rsidR="00CF47B9">
        <w:t xml:space="preserve"> Their themes focus on a central subject, character, or message. </w:t>
      </w:r>
      <w:r w:rsidR="002404EF">
        <w:t>For instance, in “The story of an hour”, the narrator’s husband is proclaimed dead in a road accident, she suffers a heart condition, her thoughts and ideas are being suppressed and she does</w:t>
      </w:r>
      <w:r w:rsidR="00F148FD">
        <w:t xml:space="preserve"> not feel free (Chopin, </w:t>
      </w:r>
      <w:r w:rsidR="00F148FD" w:rsidRPr="00F148FD">
        <w:t>1981).</w:t>
      </w:r>
    </w:p>
    <w:p w14:paraId="23BB84EB" w14:textId="27D3B448" w:rsidR="00CF47B9" w:rsidRDefault="00E63735" w:rsidP="00050841">
      <w:pPr>
        <w:spacing w:line="480" w:lineRule="auto"/>
        <w:ind w:firstLine="720"/>
        <w:jc w:val="both"/>
      </w:pPr>
      <w:r>
        <w:t xml:space="preserve">In conclusion, twentieth-century literature and contemporary literature have unique techniques that differentiate them from prior literature from the Victoria era. Contemporary main themes involve freedom </w:t>
      </w:r>
      <w:r>
        <w:lastRenderedPageBreak/>
        <w:t>and repression while the twentieth century involves alienation. In general, the settings of the two kinds of literature are what brings the uniqueness in themes and techniques used in the different kinds of literature.</w:t>
      </w:r>
    </w:p>
    <w:p w14:paraId="7FB80884" w14:textId="59D17D70" w:rsidR="007F2573" w:rsidRDefault="00E63735">
      <w:r>
        <w:br w:type="page"/>
      </w:r>
    </w:p>
    <w:p w14:paraId="54C60F0C" w14:textId="77777777" w:rsidR="00CF47B9" w:rsidRDefault="00CF47B9" w:rsidP="00050841">
      <w:pPr>
        <w:spacing w:line="480" w:lineRule="auto"/>
        <w:ind w:firstLine="720"/>
        <w:jc w:val="both"/>
      </w:pPr>
    </w:p>
    <w:p w14:paraId="7167FC65" w14:textId="5D38067C" w:rsidR="00CF47B9" w:rsidRPr="001912C1" w:rsidRDefault="00E63735" w:rsidP="001912C1">
      <w:pPr>
        <w:spacing w:line="480" w:lineRule="auto"/>
        <w:ind w:firstLine="720"/>
        <w:jc w:val="center"/>
        <w:rPr>
          <w:b/>
        </w:rPr>
      </w:pPr>
      <w:r w:rsidRPr="001912C1">
        <w:rPr>
          <w:b/>
        </w:rPr>
        <w:t>PART 2</w:t>
      </w:r>
    </w:p>
    <w:p w14:paraId="3BD43C77" w14:textId="1371E53D" w:rsidR="00E14000" w:rsidRDefault="00E63735" w:rsidP="00050841">
      <w:pPr>
        <w:spacing w:line="480" w:lineRule="auto"/>
        <w:ind w:firstLine="720"/>
        <w:jc w:val="both"/>
      </w:pPr>
      <w:r>
        <w:t>Confessional poetry focuses on the first person to describe the individual's experiences such as their psyche or individual trauma. In the twentieth century, confessional poetry started as an element of autobiography showing a person's addictions and relationships. Confessional poetry is characterized by the narration of the first person, talks about a subject matter that was considered a taboo, made in lyric form and it has a design of the autobiography.</w:t>
      </w:r>
    </w:p>
    <w:p w14:paraId="1374184D" w14:textId="35F213C6" w:rsidR="00E14000" w:rsidRDefault="00E63735" w:rsidP="00050841">
      <w:pPr>
        <w:spacing w:line="480" w:lineRule="auto"/>
        <w:ind w:firstLine="720"/>
        <w:jc w:val="both"/>
      </w:pPr>
      <w:r>
        <w:t xml:space="preserve">Some contemporary literature writings used humor to reveal the issues that face women in those settings. For instance, women's rights are frequently attacked, oppression, domesticity, and issues arising from domination of the male gender which leads to their invisibility. These issues are important in literature writings because they show the implicative situations that women are in. For instance, Louise </w:t>
      </w:r>
      <w:r w:rsidR="0071527A">
        <w:t>is happy when she hears about her husband</w:t>
      </w:r>
      <w:r w:rsidR="00050841">
        <w:t>’</w:t>
      </w:r>
      <w:r w:rsidR="0071527A">
        <w:t>s death because she feels free.</w:t>
      </w:r>
    </w:p>
    <w:p w14:paraId="6AF818BF" w14:textId="4ADA4382" w:rsidR="00CF47B9" w:rsidRDefault="00CF47B9"/>
    <w:p w14:paraId="325CB043" w14:textId="28E2D29B" w:rsidR="00CF47B9" w:rsidRDefault="00CF47B9"/>
    <w:p w14:paraId="20B65D1A" w14:textId="6957EEA1" w:rsidR="0057437C" w:rsidRDefault="0057437C">
      <w:pPr>
        <w:rPr>
          <w:rFonts w:cs="Times New Roman"/>
          <w:sz w:val="24"/>
          <w:szCs w:val="24"/>
        </w:rPr>
      </w:pPr>
      <w:r>
        <w:rPr>
          <w:rFonts w:cs="Times New Roman"/>
          <w:sz w:val="24"/>
          <w:szCs w:val="24"/>
        </w:rPr>
        <w:br w:type="page"/>
      </w:r>
    </w:p>
    <w:p w14:paraId="6D6A895A" w14:textId="77777777" w:rsidR="00CF47B9" w:rsidRPr="0057437C" w:rsidRDefault="00CF47B9" w:rsidP="0057437C">
      <w:pPr>
        <w:spacing w:line="480" w:lineRule="auto"/>
        <w:ind w:left="720" w:hanging="720"/>
        <w:jc w:val="both"/>
        <w:rPr>
          <w:rFonts w:cs="Times New Roman"/>
          <w:sz w:val="24"/>
          <w:szCs w:val="24"/>
        </w:rPr>
      </w:pPr>
      <w:bookmarkStart w:id="0" w:name="_GoBack"/>
      <w:bookmarkEnd w:id="0"/>
    </w:p>
    <w:p w14:paraId="096CD9C7" w14:textId="3BA339D3" w:rsidR="00AF56EB" w:rsidRPr="00E936FE" w:rsidRDefault="00E936FE" w:rsidP="00E936FE">
      <w:pPr>
        <w:spacing w:line="480" w:lineRule="auto"/>
        <w:ind w:left="720" w:hanging="720"/>
        <w:jc w:val="center"/>
        <w:rPr>
          <w:rFonts w:cs="Times New Roman"/>
          <w:b/>
          <w:sz w:val="24"/>
          <w:szCs w:val="24"/>
        </w:rPr>
      </w:pPr>
      <w:r>
        <w:rPr>
          <w:rFonts w:cs="Times New Roman"/>
          <w:b/>
          <w:sz w:val="24"/>
          <w:szCs w:val="24"/>
        </w:rPr>
        <w:t>References</w:t>
      </w:r>
    </w:p>
    <w:p w14:paraId="16ED57D7" w14:textId="6CC60D5A" w:rsidR="000953C3" w:rsidRPr="0057437C" w:rsidRDefault="0057437C" w:rsidP="0057437C">
      <w:pPr>
        <w:spacing w:line="480" w:lineRule="auto"/>
        <w:ind w:left="720" w:hanging="720"/>
        <w:jc w:val="both"/>
        <w:rPr>
          <w:rFonts w:cs="Times New Roman"/>
          <w:color w:val="222222"/>
          <w:sz w:val="24"/>
          <w:szCs w:val="24"/>
          <w:shd w:val="clear" w:color="auto" w:fill="FFFFFF"/>
        </w:rPr>
      </w:pPr>
      <w:r w:rsidRPr="0057437C">
        <w:rPr>
          <w:rFonts w:cs="Times New Roman"/>
          <w:color w:val="222222"/>
          <w:sz w:val="24"/>
          <w:szCs w:val="24"/>
          <w:shd w:val="clear" w:color="auto" w:fill="FFFFFF"/>
        </w:rPr>
        <w:t>Faulkner, W., Carradine, J., &amp; Huston, A. (1958). </w:t>
      </w:r>
      <w:r w:rsidRPr="0057437C">
        <w:rPr>
          <w:rFonts w:cs="Times New Roman"/>
          <w:i/>
          <w:iCs/>
          <w:color w:val="222222"/>
          <w:sz w:val="24"/>
          <w:szCs w:val="24"/>
          <w:shd w:val="clear" w:color="auto" w:fill="FFFFFF"/>
        </w:rPr>
        <w:t>A rose for Emily</w:t>
      </w:r>
      <w:r w:rsidRPr="0057437C">
        <w:rPr>
          <w:rFonts w:cs="Times New Roman"/>
          <w:color w:val="222222"/>
          <w:sz w:val="24"/>
          <w:szCs w:val="24"/>
          <w:shd w:val="clear" w:color="auto" w:fill="FFFFFF"/>
        </w:rPr>
        <w:t xml:space="preserve"> (pp. 170-179). Paderborn, De: Verlag F. </w:t>
      </w:r>
      <w:proofErr w:type="spellStart"/>
      <w:r w:rsidRPr="0057437C">
        <w:rPr>
          <w:rFonts w:cs="Times New Roman"/>
          <w:color w:val="222222"/>
          <w:sz w:val="24"/>
          <w:szCs w:val="24"/>
          <w:shd w:val="clear" w:color="auto" w:fill="FFFFFF"/>
        </w:rPr>
        <w:t>Schöningh</w:t>
      </w:r>
      <w:proofErr w:type="spellEnd"/>
      <w:r w:rsidRPr="0057437C">
        <w:rPr>
          <w:rFonts w:cs="Times New Roman"/>
          <w:color w:val="222222"/>
          <w:sz w:val="24"/>
          <w:szCs w:val="24"/>
          <w:shd w:val="clear" w:color="auto" w:fill="FFFFFF"/>
        </w:rPr>
        <w:t>.</w:t>
      </w:r>
    </w:p>
    <w:p w14:paraId="04FB1A7A" w14:textId="3BD91993" w:rsidR="0057437C" w:rsidRDefault="0057437C" w:rsidP="0057437C">
      <w:pPr>
        <w:spacing w:line="480" w:lineRule="auto"/>
        <w:ind w:left="720" w:hanging="720"/>
        <w:jc w:val="both"/>
      </w:pPr>
      <w:r w:rsidRPr="0057437C">
        <w:rPr>
          <w:rFonts w:cs="Times New Roman"/>
          <w:color w:val="222222"/>
          <w:sz w:val="24"/>
          <w:szCs w:val="24"/>
          <w:shd w:val="clear" w:color="auto" w:fill="FFFFFF"/>
        </w:rPr>
        <w:t>Chopin, K. (1981). </w:t>
      </w:r>
      <w:r w:rsidRPr="0057437C">
        <w:rPr>
          <w:rFonts w:cs="Times New Roman"/>
          <w:i/>
          <w:iCs/>
          <w:color w:val="222222"/>
          <w:sz w:val="24"/>
          <w:szCs w:val="24"/>
          <w:shd w:val="clear" w:color="auto" w:fill="FFFFFF"/>
        </w:rPr>
        <w:t>The story of an hour</w:t>
      </w:r>
      <w:r w:rsidRPr="0057437C">
        <w:rPr>
          <w:rFonts w:cs="Times New Roman"/>
          <w:color w:val="222222"/>
          <w:sz w:val="24"/>
          <w:szCs w:val="24"/>
          <w:shd w:val="clear" w:color="auto" w:fill="FFFFFF"/>
        </w:rPr>
        <w:t xml:space="preserve">. </w:t>
      </w:r>
      <w:proofErr w:type="spellStart"/>
      <w:r w:rsidRPr="0057437C">
        <w:rPr>
          <w:rFonts w:cs="Times New Roman"/>
          <w:color w:val="222222"/>
          <w:sz w:val="24"/>
          <w:szCs w:val="24"/>
          <w:shd w:val="clear" w:color="auto" w:fill="FFFFFF"/>
        </w:rPr>
        <w:t>Jimcin</w:t>
      </w:r>
      <w:proofErr w:type="spellEnd"/>
      <w:r w:rsidRPr="0057437C">
        <w:rPr>
          <w:rFonts w:cs="Times New Roman"/>
          <w:color w:val="222222"/>
          <w:sz w:val="24"/>
          <w:szCs w:val="24"/>
          <w:shd w:val="clear" w:color="auto" w:fill="FFFFFF"/>
        </w:rPr>
        <w:t xml:space="preserve"> Recordings</w:t>
      </w:r>
      <w:r>
        <w:rPr>
          <w:rFonts w:ascii="Arial" w:hAnsi="Arial" w:cs="Arial"/>
          <w:color w:val="222222"/>
          <w:sz w:val="20"/>
          <w:szCs w:val="20"/>
          <w:shd w:val="clear" w:color="auto" w:fill="FFFFFF"/>
        </w:rPr>
        <w:t>.</w:t>
      </w:r>
    </w:p>
    <w:sectPr w:rsidR="0057437C" w:rsidSect="007152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68229" w14:textId="77777777" w:rsidR="00FB459A" w:rsidRDefault="00FB459A">
      <w:pPr>
        <w:spacing w:after="0" w:line="240" w:lineRule="auto"/>
      </w:pPr>
      <w:r>
        <w:separator/>
      </w:r>
    </w:p>
  </w:endnote>
  <w:endnote w:type="continuationSeparator" w:id="0">
    <w:p w14:paraId="5FECADF7" w14:textId="77777777" w:rsidR="00FB459A" w:rsidRDefault="00FB4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B89442" w14:textId="77777777" w:rsidR="00FB459A" w:rsidRDefault="00FB459A">
      <w:pPr>
        <w:spacing w:after="0" w:line="240" w:lineRule="auto"/>
      </w:pPr>
      <w:r>
        <w:separator/>
      </w:r>
    </w:p>
  </w:footnote>
  <w:footnote w:type="continuationSeparator" w:id="0">
    <w:p w14:paraId="19FA9D1C" w14:textId="77777777" w:rsidR="00FB459A" w:rsidRDefault="00FB45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474226"/>
      <w:docPartObj>
        <w:docPartGallery w:val="Page Numbers (Top of Page)"/>
        <w:docPartUnique/>
      </w:docPartObj>
    </w:sdtPr>
    <w:sdtEndPr>
      <w:rPr>
        <w:noProof/>
      </w:rPr>
    </w:sdtEndPr>
    <w:sdtContent>
      <w:p w14:paraId="3AF8B16E" w14:textId="2D57332B" w:rsidR="0071527A" w:rsidRDefault="00E63735">
        <w:pPr>
          <w:pStyle w:val="Header"/>
          <w:jc w:val="right"/>
        </w:pPr>
        <w:r>
          <w:fldChar w:fldCharType="begin"/>
        </w:r>
        <w:r>
          <w:instrText xml:space="preserve"> PAGE   \* MERGEFORMAT </w:instrText>
        </w:r>
        <w:r>
          <w:fldChar w:fldCharType="separate"/>
        </w:r>
        <w:r w:rsidR="001912C1">
          <w:rPr>
            <w:noProof/>
          </w:rPr>
          <w:t>5</w:t>
        </w:r>
        <w:r>
          <w:rPr>
            <w:noProof/>
          </w:rPr>
          <w:fldChar w:fldCharType="end"/>
        </w:r>
      </w:p>
    </w:sdtContent>
  </w:sdt>
  <w:p w14:paraId="37A6008A" w14:textId="77777777" w:rsidR="0071527A" w:rsidRDefault="00715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AD320" w14:textId="3FD36CED" w:rsidR="0071527A" w:rsidRDefault="00E63735">
    <w:pPr>
      <w:pStyle w:val="Header"/>
    </w:pPr>
    <w:r>
      <w:t>Running head: twentieth-century literature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1B6AF3"/>
    <w:multiLevelType w:val="multilevel"/>
    <w:tmpl w:val="672EC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3C3"/>
    <w:rsid w:val="00050841"/>
    <w:rsid w:val="000953C3"/>
    <w:rsid w:val="0011194F"/>
    <w:rsid w:val="00152CF4"/>
    <w:rsid w:val="00184062"/>
    <w:rsid w:val="001912C1"/>
    <w:rsid w:val="002404EF"/>
    <w:rsid w:val="00436359"/>
    <w:rsid w:val="0057437C"/>
    <w:rsid w:val="006803D4"/>
    <w:rsid w:val="006D2269"/>
    <w:rsid w:val="0071527A"/>
    <w:rsid w:val="007F2573"/>
    <w:rsid w:val="00A13417"/>
    <w:rsid w:val="00AF56EB"/>
    <w:rsid w:val="00B302FF"/>
    <w:rsid w:val="00B3067A"/>
    <w:rsid w:val="00CF47B9"/>
    <w:rsid w:val="00E14000"/>
    <w:rsid w:val="00E63735"/>
    <w:rsid w:val="00E936FE"/>
    <w:rsid w:val="00F148FD"/>
    <w:rsid w:val="00FB4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0616A"/>
  <w15:chartTrackingRefBased/>
  <w15:docId w15:val="{6033F2C8-4178-418E-86A0-D5152C49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rt0xe">
    <w:name w:val="trt0xe"/>
    <w:basedOn w:val="Normal"/>
    <w:rsid w:val="000953C3"/>
    <w:pPr>
      <w:spacing w:before="100" w:beforeAutospacing="1" w:after="100" w:afterAutospacing="1" w:line="240" w:lineRule="auto"/>
    </w:pPr>
    <w:rPr>
      <w:rFonts w:eastAsia="Times New Roman" w:cs="Times New Roman"/>
      <w:sz w:val="24"/>
      <w:szCs w:val="24"/>
    </w:rPr>
  </w:style>
  <w:style w:type="character" w:customStyle="1" w:styleId="inline-character">
    <w:name w:val="inline-character"/>
    <w:basedOn w:val="DefaultParagraphFont"/>
    <w:rsid w:val="006D2269"/>
  </w:style>
  <w:style w:type="character" w:styleId="Emphasis">
    <w:name w:val="Emphasis"/>
    <w:basedOn w:val="DefaultParagraphFont"/>
    <w:uiPriority w:val="20"/>
    <w:qFormat/>
    <w:rsid w:val="00B302FF"/>
    <w:rPr>
      <w:i/>
      <w:iCs/>
    </w:rPr>
  </w:style>
  <w:style w:type="paragraph" w:styleId="Header">
    <w:name w:val="header"/>
    <w:basedOn w:val="Normal"/>
    <w:link w:val="HeaderChar"/>
    <w:uiPriority w:val="99"/>
    <w:unhideWhenUsed/>
    <w:rsid w:val="00715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27A"/>
  </w:style>
  <w:style w:type="paragraph" w:styleId="Footer">
    <w:name w:val="footer"/>
    <w:basedOn w:val="Normal"/>
    <w:link w:val="FooterChar"/>
    <w:uiPriority w:val="99"/>
    <w:unhideWhenUsed/>
    <w:rsid w:val="00715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5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526</Words>
  <Characters>3000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8</cp:revision>
  <dcterms:created xsi:type="dcterms:W3CDTF">2020-08-02T09:23:00Z</dcterms:created>
  <dcterms:modified xsi:type="dcterms:W3CDTF">2020-08-02T14:13:00Z</dcterms:modified>
</cp:coreProperties>
</file>